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79C9" w14:textId="31DE97B2" w:rsidR="00DC2096" w:rsidRDefault="00DC2096" w:rsidP="33E0BE4C">
      <w:pPr>
        <w:rPr>
          <w:rFonts w:ascii="Arial" w:hAnsi="Arial"/>
          <w:b/>
          <w:bCs/>
          <w:kern w:val="0"/>
          <w:sz w:val="32"/>
          <w:szCs w:val="32"/>
          <w:lang w:eastAsia="es-ES"/>
        </w:rPr>
      </w:pPr>
      <w:r w:rsidRPr="33E0BE4C">
        <w:rPr>
          <w:rFonts w:ascii="Arial" w:hAnsi="Arial"/>
          <w:b/>
          <w:bCs/>
          <w:kern w:val="0"/>
          <w:sz w:val="32"/>
          <w:szCs w:val="32"/>
          <w:lang w:eastAsia="es-ES"/>
        </w:rPr>
        <w:t>INDRA</w:t>
      </w:r>
      <w:r w:rsidR="791F6229" w:rsidRPr="33E0BE4C">
        <w:rPr>
          <w:rFonts w:ascii="Arial" w:hAnsi="Arial"/>
          <w:b/>
          <w:bCs/>
          <w:kern w:val="0"/>
          <w:sz w:val="32"/>
          <w:szCs w:val="32"/>
          <w:lang w:eastAsia="es-ES"/>
        </w:rPr>
        <w:t xml:space="preserve"> GROUP</w:t>
      </w:r>
      <w:r w:rsidRPr="33E0BE4C">
        <w:rPr>
          <w:rFonts w:ascii="Arial" w:hAnsi="Arial"/>
          <w:b/>
          <w:bCs/>
          <w:kern w:val="0"/>
          <w:sz w:val="32"/>
          <w:szCs w:val="32"/>
          <w:lang w:eastAsia="es-ES"/>
        </w:rPr>
        <w:t>, LÍDER MUNDIAL EN MOVILIDAD URBANA E INTERURBANA INTELIGENTE Y SOSTENIBLE</w:t>
      </w:r>
    </w:p>
    <w:p w14:paraId="60483FE7" w14:textId="77777777" w:rsidR="000B7722" w:rsidRDefault="000B7722" w:rsidP="0019206A"/>
    <w:p w14:paraId="766D179F" w14:textId="776135AE" w:rsidR="0019206A" w:rsidRDefault="0019206A" w:rsidP="0019206A">
      <w:r>
        <w:t>Con más de 2.500 proyectos desplegados en 50 países y más de 100 ciudades de todo el mundo, Indra se ha consolidado como un referente global en movilidad urbana e interurbana, con capacidad para liderar su transformación digital con soluciones tecnológicas avanzadas que se adaptan a cada cliente, necesidad y realidad operativa.</w:t>
      </w:r>
    </w:p>
    <w:p w14:paraId="52303375" w14:textId="234DB68E" w:rsidR="0019206A" w:rsidRDefault="0019206A" w:rsidP="0019206A">
      <w:r>
        <w:t>Indra ofrece una visión integral de la movilidad, centrada en la eficiencia operativa, la experiencia del usuario y la sostenibilidad, y trabaja en estrecha colaboración con autoridades y operadores de transporte para avanzar hacia modelos más inteligentes, conectados y respetuosos con el medio ambiente.</w:t>
      </w:r>
    </w:p>
    <w:p w14:paraId="5B8F5AD4" w14:textId="6D1F449B" w:rsidR="00EE79FF" w:rsidRDefault="0019206A" w:rsidP="0019206A">
      <w:r>
        <w:t>La tecnología de Indra está presente en la movilidad diaria de más de 78 millones de personas, contribuyendo al ahorro de más de 10 millones de toneladas de CO</w:t>
      </w:r>
      <w:r>
        <w:rPr>
          <w:rFonts w:ascii="Cambria Math" w:hAnsi="Cambria Math" w:cs="Cambria Math"/>
        </w:rPr>
        <w:t>₂</w:t>
      </w:r>
      <w:r>
        <w:t xml:space="preserve"> al a</w:t>
      </w:r>
      <w:r>
        <w:rPr>
          <w:rFonts w:ascii="Arial" w:hAnsi="Arial" w:cs="Arial"/>
        </w:rPr>
        <w:t>ñ</w:t>
      </w:r>
      <w:r>
        <w:t>o y a salvar cerca de 3.000 vidas gracias a la mejora en la gesti</w:t>
      </w:r>
      <w:r>
        <w:rPr>
          <w:rFonts w:ascii="Arial" w:hAnsi="Arial" w:cs="Arial"/>
        </w:rPr>
        <w:t>ó</w:t>
      </w:r>
      <w:r>
        <w:t>n del tr</w:t>
      </w:r>
      <w:r>
        <w:rPr>
          <w:rFonts w:ascii="Arial" w:hAnsi="Arial" w:cs="Arial"/>
        </w:rPr>
        <w:t>á</w:t>
      </w:r>
      <w:r>
        <w:t xml:space="preserve">fico y la seguridad vial. Su compromiso con el planeta y las personas ha sido reconocido por prestigiosos </w:t>
      </w:r>
      <w:r>
        <w:rPr>
          <w:rFonts w:ascii="Arial" w:hAnsi="Arial" w:cs="Arial"/>
        </w:rPr>
        <w:t>í</w:t>
      </w:r>
      <w:r>
        <w:t xml:space="preserve">ndices internacionales </w:t>
      </w:r>
      <w:r w:rsidR="00795CD0">
        <w:t xml:space="preserve">de sostenibilidad </w:t>
      </w:r>
      <w:r>
        <w:t>como el Dow Jones Sustainability Index (DJSI) o el Anuario de Sostenibilidad de S&amp;P.</w:t>
      </w:r>
    </w:p>
    <w:p w14:paraId="561A3C1B" w14:textId="77777777" w:rsidR="00D34926" w:rsidRPr="00D34926" w:rsidRDefault="00D34926" w:rsidP="00D34926">
      <w:pPr>
        <w:rPr>
          <w:b/>
          <w:bCs/>
        </w:rPr>
      </w:pPr>
      <w:r w:rsidRPr="00D34926">
        <w:rPr>
          <w:b/>
          <w:bCs/>
        </w:rPr>
        <w:t>Referente internacional en ticketing</w:t>
      </w:r>
    </w:p>
    <w:p w14:paraId="4780CA86" w14:textId="6376EC75" w:rsidR="00D34926" w:rsidRDefault="00D34926" w:rsidP="00D34926">
      <w:r>
        <w:t xml:space="preserve">Con la adjudicación de Transport for London del contrato para </w:t>
      </w:r>
      <w:r w:rsidR="00795CD0">
        <w:t xml:space="preserve">la </w:t>
      </w:r>
      <w:r>
        <w:t xml:space="preserve">operación, evolución y mantenimiento </w:t>
      </w:r>
      <w:r w:rsidR="00F01F1A" w:rsidRPr="00AE729C">
        <w:rPr>
          <w:noProof/>
        </w:rPr>
        <w:t>el sistema</w:t>
      </w:r>
      <w:r w:rsidR="00F01F1A">
        <w:rPr>
          <w:noProof/>
        </w:rPr>
        <w:t xml:space="preserve"> </w:t>
      </w:r>
      <w:r w:rsidR="00F01F1A" w:rsidRPr="00AE729C">
        <w:rPr>
          <w:noProof/>
        </w:rPr>
        <w:t>de venta y control de accesos (</w:t>
      </w:r>
      <w:r w:rsidR="00F01F1A" w:rsidRPr="00184931">
        <w:rPr>
          <w:noProof/>
        </w:rPr>
        <w:t>ticketing</w:t>
      </w:r>
      <w:r w:rsidR="00F01F1A" w:rsidRPr="00AE729C">
        <w:rPr>
          <w:noProof/>
        </w:rPr>
        <w:t xml:space="preserve">) </w:t>
      </w:r>
      <w:r>
        <w:t xml:space="preserve">de toda la red de transporte público de Londres y su área metropolitana, Indra ha ganado uno de los mayores contratos de su historia. </w:t>
      </w:r>
    </w:p>
    <w:p w14:paraId="1D204C66" w14:textId="32E6540B" w:rsidR="0019206A" w:rsidRDefault="00D34926" w:rsidP="00D34926">
      <w:r>
        <w:t>Indra es uno de los líderes mundiales en ticketing, con más de 30 años de experiencia desarrollando sistemas propios, innovadores y adaptados a las necesidades de cada cliente. Algunos de los proyectos que respaldan a Indra son:</w:t>
      </w:r>
    </w:p>
    <w:p w14:paraId="787FEE1D" w14:textId="3A9024B3" w:rsidR="002E3687" w:rsidRDefault="002E3687" w:rsidP="002E3687">
      <w:pPr>
        <w:pStyle w:val="Prrafodelista"/>
        <w:numPr>
          <w:ilvl w:val="0"/>
          <w:numId w:val="16"/>
        </w:numPr>
      </w:pPr>
      <w:r>
        <w:t>En Irlanda</w:t>
      </w:r>
      <w:r w:rsidR="00C805BF">
        <w:t xml:space="preserve"> es responsable del proyecto para </w:t>
      </w:r>
      <w:r>
        <w:t>gestionar el sistema completo de ticketing para el tranvía, los autobuses, y la red nacional de ferrocarril, así como el futuro Metro de Dublín, administrado por National Transport Authority (NTA).</w:t>
      </w:r>
    </w:p>
    <w:p w14:paraId="3B891478" w14:textId="42BB80B2" w:rsidR="00A93DD1" w:rsidRDefault="002E3687" w:rsidP="00A93DD1">
      <w:pPr>
        <w:pStyle w:val="Prrafodelista"/>
        <w:numPr>
          <w:ilvl w:val="0"/>
          <w:numId w:val="16"/>
        </w:numPr>
      </w:pPr>
      <w:r>
        <w:t xml:space="preserve">Indra realiza la gestión integral del transporte público de Riad, que abarca una flota de más de 800 autobuses, paradas de autobús convencional y líneas exclusivas de Bus Rapid Transit (BRT) de toda la ciudad. </w:t>
      </w:r>
      <w:r w:rsidR="007C50A7" w:rsidRPr="007C50A7">
        <w:t>Ha diseñado</w:t>
      </w:r>
      <w:r w:rsidR="00C805BF">
        <w:t>,</w:t>
      </w:r>
      <w:r w:rsidR="007C50A7" w:rsidRPr="007C50A7">
        <w:t xml:space="preserve"> además</w:t>
      </w:r>
      <w:r w:rsidR="00C805BF">
        <w:t>,</w:t>
      </w:r>
      <w:r w:rsidR="007C50A7" w:rsidRPr="007C50A7">
        <w:t xml:space="preserve"> equipos y máquinas de venta a medida, con estética tipo </w:t>
      </w:r>
      <w:r w:rsidR="007C50A7" w:rsidRPr="00F04214">
        <w:rPr>
          <w:i/>
          <w:iCs/>
        </w:rPr>
        <w:t xml:space="preserve">smartphone </w:t>
      </w:r>
      <w:r w:rsidR="007C50A7" w:rsidRPr="007C50A7">
        <w:t>y tecnología para la validación directa con tarjeta bancaria (EMV), móvil o smartwatch.</w:t>
      </w:r>
    </w:p>
    <w:p w14:paraId="227D738D" w14:textId="41B55ECF" w:rsidR="002E3687" w:rsidRDefault="00777EB5" w:rsidP="002E3687">
      <w:pPr>
        <w:pStyle w:val="Prrafodelista"/>
        <w:numPr>
          <w:ilvl w:val="0"/>
          <w:numId w:val="16"/>
        </w:numPr>
      </w:pPr>
      <w:r>
        <w:t>Ha</w:t>
      </w:r>
      <w:r w:rsidR="002E3687">
        <w:t xml:space="preserve"> desarrollado el proyecto T-Mobilitat en Cataluña, una plataforma de ticketing multimodal que integra a más de 70 operadores de transporte y da servicio mediante un sistema tarifario integrado a más de 7,5 millones de habitantes.</w:t>
      </w:r>
    </w:p>
    <w:p w14:paraId="41C6BF97" w14:textId="2CD7E46F" w:rsidR="002E3687" w:rsidRDefault="002E3687" w:rsidP="002E3687">
      <w:pPr>
        <w:pStyle w:val="Prrafodelista"/>
        <w:numPr>
          <w:ilvl w:val="0"/>
          <w:numId w:val="16"/>
        </w:numPr>
      </w:pPr>
      <w:r>
        <w:t>Indra ha implantado en los nuevos vehículos BRT verdes y limpios de Brisbane Metro, Australia, la tecnología más avanzada para la gestión del transporte público, a través de la cual ofrece una visión global de todo el ecosistema de transporte, en cuanto a nivel de servicio (puntualidad, regulación, calidad o cumplimiento) y al estado de la infraestructura, tanto del tráfico como de las estaciones, en tiempo real.</w:t>
      </w:r>
    </w:p>
    <w:p w14:paraId="00B0D5C2" w14:textId="3963BD61" w:rsidR="002E3687" w:rsidRDefault="00C97C21" w:rsidP="002E3687">
      <w:pPr>
        <w:pStyle w:val="Prrafodelista"/>
        <w:numPr>
          <w:ilvl w:val="0"/>
          <w:numId w:val="16"/>
        </w:numPr>
      </w:pPr>
      <w:r>
        <w:t>H</w:t>
      </w:r>
      <w:r w:rsidR="002E3687">
        <w:t xml:space="preserve">a renovado los sistemas de venta y recarga de títulos de transporte de la red de Metro de San Luis, MetroLink, en Misuri (Estados Unidos), con la fabricación y diseño de máquinas de autoventa de última generación y un sistema de gestión y control en cloud.  </w:t>
      </w:r>
    </w:p>
    <w:p w14:paraId="1B05150C" w14:textId="6893887C" w:rsidR="002E3687" w:rsidRDefault="002E3687" w:rsidP="002E3687">
      <w:pPr>
        <w:pStyle w:val="Prrafodelista"/>
        <w:numPr>
          <w:ilvl w:val="0"/>
          <w:numId w:val="16"/>
        </w:numPr>
      </w:pPr>
      <w:r>
        <w:t>Indra convirtió a Lisboa en una de las primeras ciudades de Europa en las que el viajero puede acceder al metro con su propio móvil, tarjeta bancaria o smartwatch, sin necesidad de adquirir previamente un título de transporte o abono. Instaló más de 280 máquinas de venta automática y más de 750 pasos en un suburbano que cuenta con más de 1,2 millones de pasajeros diarios.</w:t>
      </w:r>
    </w:p>
    <w:p w14:paraId="5FC3CA25" w14:textId="46DCABBD" w:rsidR="004F1A6E" w:rsidRDefault="004F1A6E" w:rsidP="002E3687">
      <w:pPr>
        <w:pStyle w:val="Prrafodelista"/>
        <w:numPr>
          <w:ilvl w:val="0"/>
          <w:numId w:val="16"/>
        </w:numPr>
      </w:pPr>
      <w:r w:rsidRPr="004F1A6E">
        <w:t>En Metro de Madrid, ha desarrollado las nuevas máquinas de venta y tornos de acceso, aplicando la tecnología Smart-TVM para mejorar la experiencia del usuario, con pantallas táctiles de 43” y diseño intuitivo que permite</w:t>
      </w:r>
      <w:r w:rsidR="007A7CB3">
        <w:t>n</w:t>
      </w:r>
      <w:r w:rsidRPr="004F1A6E">
        <w:t xml:space="preserve"> mostrar información útil como itinerarios, planos </w:t>
      </w:r>
      <w:r w:rsidR="007A7CB3">
        <w:t>u</w:t>
      </w:r>
      <w:r w:rsidRPr="004F1A6E">
        <w:t xml:space="preserve"> horarios.</w:t>
      </w:r>
    </w:p>
    <w:p w14:paraId="5A26CE9C" w14:textId="77777777" w:rsidR="004F1A6E" w:rsidRDefault="004F1A6E" w:rsidP="002E3687">
      <w:pPr>
        <w:pStyle w:val="Prrafodelista"/>
        <w:numPr>
          <w:ilvl w:val="0"/>
          <w:numId w:val="16"/>
        </w:numPr>
      </w:pPr>
      <w:r w:rsidRPr="004F1A6E">
        <w:t>Con Renfe, Indra mantiene una relación de largo recorrido como socio tecnológico. Ha suministrado sistemas avanzados de ticketing y acceso para Cercanías, Media y Larga Distancia, además de soluciones de venta online, canales móviles, validación sin contacto y backoffice tarifario.</w:t>
      </w:r>
    </w:p>
    <w:p w14:paraId="54980D94" w14:textId="4ED19AA7" w:rsidR="002E3687" w:rsidRDefault="002E3687" w:rsidP="002E3687">
      <w:pPr>
        <w:pStyle w:val="Prrafodelista"/>
        <w:numPr>
          <w:ilvl w:val="0"/>
          <w:numId w:val="16"/>
        </w:numPr>
      </w:pPr>
      <w:r>
        <w:t xml:space="preserve">En el Metro de Santiago de Chile, uno de los más extensos y modernos de América Latina, Indra ha desplegado una solución de ticketing integral que incluye máquinas de autoventa, validadores </w:t>
      </w:r>
      <w:r>
        <w:lastRenderedPageBreak/>
        <w:t>embarcados y sistemas de control de acceso. La solución permite el pago con tarjetas bancarias EMV sin contacto y dispositivos móviles, y se integra con un backoffice robusto para una gestión centralizada, segura y flexible, alineada con el crecimiento continuo de la red y las expectativas de los usuarios.</w:t>
      </w:r>
    </w:p>
    <w:p w14:paraId="7E8E0233" w14:textId="77777777" w:rsidR="0085619A" w:rsidRPr="0085619A" w:rsidRDefault="0085619A" w:rsidP="0085619A">
      <w:pPr>
        <w:rPr>
          <w:b/>
          <w:bCs/>
        </w:rPr>
      </w:pPr>
      <w:r w:rsidRPr="0085619A">
        <w:rPr>
          <w:b/>
          <w:bCs/>
        </w:rPr>
        <w:t>En los proyectos más ambiciosos del mundo</w:t>
      </w:r>
    </w:p>
    <w:p w14:paraId="1BE54828" w14:textId="243DF0C4" w:rsidR="00E2137E" w:rsidRDefault="00E2137E" w:rsidP="00E2137E">
      <w:r w:rsidRPr="00E2137E">
        <w:t xml:space="preserve">La sólida trayectoria de Indra </w:t>
      </w:r>
      <w:r w:rsidR="00B473F0">
        <w:t xml:space="preserve">en el negocio de Mobility </w:t>
      </w:r>
      <w:r w:rsidRPr="00E2137E">
        <w:t>queda reflejada en su participación en algunos de los proyectos más complejos e innovadores del sector a escala internacional, confiados por clientes de gran calibre en países como EE. UU., Reino Unido, Irlanda, Arabia Saudí, los países bálticos o Australia.</w:t>
      </w:r>
      <w:r>
        <w:t xml:space="preserve"> </w:t>
      </w:r>
      <w:r w:rsidRPr="00E2137E">
        <w:br/>
      </w:r>
    </w:p>
    <w:p w14:paraId="2579CD6C" w14:textId="07993725" w:rsidR="0085619A" w:rsidRPr="00F62A42" w:rsidRDefault="00E2137E" w:rsidP="00E2137E">
      <w:r w:rsidRPr="00F62A42">
        <w:t>Entre sus referencias más destacadas en Mobility figuran:</w:t>
      </w:r>
    </w:p>
    <w:p w14:paraId="3CAD0D45" w14:textId="36A064FF" w:rsidR="00C47B62" w:rsidRPr="00F62A42" w:rsidRDefault="00C47B62" w:rsidP="009A13A5">
      <w:pPr>
        <w:pStyle w:val="Prrafodelista"/>
        <w:numPr>
          <w:ilvl w:val="0"/>
          <w:numId w:val="16"/>
        </w:numPr>
      </w:pPr>
      <w:r w:rsidRPr="00F62A42">
        <w:t>El compromiso con la innovación ha llevado a Indra a convertirse en una de las principales compañías del sector ferroviario. Las soluciones de última tecnología end-to-end desarrolladas por Indra se han situado a la vanguardia mundial del sector y ya han sido o están siendo implantadas en países como Australia, Holanda, Irlanda, Estonia, Lituania, Arabia Saudí, México, Colombia, Argentina, India o Malasia, además de España, entre otros muchos.</w:t>
      </w:r>
    </w:p>
    <w:p w14:paraId="192F6021" w14:textId="77777777" w:rsidR="00C47B62" w:rsidRDefault="00C47B62" w:rsidP="00C47B62">
      <w:pPr>
        <w:pStyle w:val="Prrafodelista"/>
        <w:numPr>
          <w:ilvl w:val="0"/>
          <w:numId w:val="16"/>
        </w:numPr>
      </w:pPr>
      <w:r>
        <w:t>Indra es el socio tecnológico del proyecto Haramain, referente en alta velocidad en Oriente Medio, en el que ha sido responsable de los centros de control de operaciones y sistemas de gestión del consorcio, comunicaciones, seguridad, TI, sistemas de información al viajero, ventas y reservas y tecnología de ticketing en más de 450 kilómetros de esta línea de alta velocidad entre la Meca y Medina.</w:t>
      </w:r>
    </w:p>
    <w:p w14:paraId="49878EFB" w14:textId="6A75A846" w:rsidR="00C47B62" w:rsidRDefault="00C47B62" w:rsidP="00C47B62">
      <w:pPr>
        <w:pStyle w:val="Prrafodelista"/>
        <w:numPr>
          <w:ilvl w:val="0"/>
          <w:numId w:val="16"/>
        </w:numPr>
      </w:pPr>
      <w:r>
        <w:t>E</w:t>
      </w:r>
      <w:r w:rsidRPr="00852D71">
        <w:t xml:space="preserve">l sistema de gestión ferroviaria (TMS) de Indra ha sido elegido en los últimos años para gestionar la red ferroviaria de Irlanda y la de Estonia, además de controlar toda la red ferroviaria española, la línea de alta velocidad Meca-Medina en Arabia Saudí </w:t>
      </w:r>
      <w:r>
        <w:t>(</w:t>
      </w:r>
      <w:r w:rsidR="00E82AB8">
        <w:t>p</w:t>
      </w:r>
      <w:r>
        <w:t xml:space="preserve">royecto Haramain) </w:t>
      </w:r>
      <w:r w:rsidRPr="00852D71">
        <w:t>y la red lituana</w:t>
      </w:r>
      <w:r>
        <w:t>,</w:t>
      </w:r>
      <w:r w:rsidRPr="00852D71">
        <w:t xml:space="preserve"> entre otras</w:t>
      </w:r>
      <w:r>
        <w:t>.</w:t>
      </w:r>
    </w:p>
    <w:p w14:paraId="20CAA52D" w14:textId="20B262EC" w:rsidR="00C47B62" w:rsidRPr="00F62A42" w:rsidRDefault="00C47B62" w:rsidP="00C47B62">
      <w:pPr>
        <w:pStyle w:val="Prrafodelista"/>
        <w:numPr>
          <w:ilvl w:val="0"/>
          <w:numId w:val="16"/>
        </w:numPr>
      </w:pPr>
      <w:r>
        <w:t>En seguridad ferroviaria, la compañía ha llevado a cabo importantes despliegues en España o Lituania y trabaja para revolucionar la señalización ferroviaria, con el desarrollo de un enclavamiento digital abierto, para un tren más seguro y conectado.</w:t>
      </w:r>
    </w:p>
    <w:p w14:paraId="6E0ACF58" w14:textId="77777777" w:rsidR="0048719D" w:rsidRPr="0048719D" w:rsidRDefault="0048719D" w:rsidP="007F0FE5">
      <w:pPr>
        <w:pStyle w:val="Prrafodelista"/>
        <w:numPr>
          <w:ilvl w:val="0"/>
          <w:numId w:val="16"/>
        </w:numPr>
      </w:pPr>
      <w:r w:rsidRPr="0048719D">
        <w:t>Indra sigue evolucionando, igualmente, su avanzada tecnología para el sector ferroviario con el objetivo de aprovechar todas las ventajas del CiberRail IoT, el ERTMS satelital, el big data o la Inteligencia Artificial para convertir el tren en el centro del ecosistema más “verde” de la nueva movilidad y poner ésta al servicio del viajero. </w:t>
      </w:r>
    </w:p>
    <w:p w14:paraId="67425A16" w14:textId="77777777" w:rsidR="00F62A42" w:rsidRDefault="0048719D" w:rsidP="00F62A42">
      <w:pPr>
        <w:pStyle w:val="Prrafodelista"/>
        <w:numPr>
          <w:ilvl w:val="0"/>
          <w:numId w:val="16"/>
        </w:numPr>
      </w:pPr>
      <w:r>
        <w:t>Dentro del programa Europe’s Rail, la principal iniciativa de innovación ferroviaria europea, de cuyo máximo órgano de gobierno Indra forma parte, y el anterior programa Shift2Rail, está trabajando en numerosos proyectos de I+D+i que desarrollan nuevas soluciones. </w:t>
      </w:r>
    </w:p>
    <w:p w14:paraId="1339A6B1" w14:textId="23EA1C09" w:rsidR="009A13A5" w:rsidRPr="009A13A5" w:rsidRDefault="009A13A5" w:rsidP="00F62A42">
      <w:pPr>
        <w:pStyle w:val="Prrafodelista"/>
        <w:numPr>
          <w:ilvl w:val="0"/>
          <w:numId w:val="16"/>
        </w:numPr>
      </w:pPr>
      <w:r w:rsidRPr="009A13A5">
        <w:t xml:space="preserve">En Estados Unidos, </w:t>
      </w:r>
      <w:r w:rsidR="001B0B2E">
        <w:t>l</w:t>
      </w:r>
      <w:r w:rsidRPr="009A13A5">
        <w:t xml:space="preserve">a autopista I-66 Outside the Beltway cuenta con una de las soluciones más avanzadas disponibles en el mercado, gracias al sistema de peaje free-flow overhead desarrollado por Indra, que elimina la necesidad de barreras físicas y sistemas intrusivos en el asfalto, e incluye la detección automática de Vehículos de Alta Ocupación (HOV, según sus siglas en inglés), tecnología LiDAR y de vehículo conectado. Además, supone una solución de peaje escalable y con </w:t>
      </w:r>
      <w:r w:rsidR="00D30AF9" w:rsidRPr="00D30AF9">
        <w:t>una gran flexibilidad que permite a los clientes adaptarse fácilmente a cambios en reglas de negocio o de clasificación de vehículo</w:t>
      </w:r>
      <w:r w:rsidR="00D30AF9">
        <w:t>s.</w:t>
      </w:r>
    </w:p>
    <w:p w14:paraId="4DB18374" w14:textId="0A7B489B" w:rsidR="009A13A5" w:rsidRPr="009A13A5" w:rsidRDefault="009A13A5" w:rsidP="009A13A5">
      <w:pPr>
        <w:pStyle w:val="Prrafodelista"/>
        <w:numPr>
          <w:ilvl w:val="0"/>
          <w:numId w:val="16"/>
        </w:numPr>
      </w:pPr>
      <w:r w:rsidRPr="009A13A5">
        <w:t xml:space="preserve">Con una sólida y creciente presencia </w:t>
      </w:r>
      <w:r w:rsidR="002710DF">
        <w:t xml:space="preserve">también </w:t>
      </w:r>
      <w:r w:rsidRPr="009A13A5">
        <w:t>en el mercado de la movilidad en Estados Unidos, Indra implantará su sistema de peaje dinámico (Managed Lanes) free-flow, que integra tecnología LiDAR 3D e Inteligencia Artificial, en los carriles exprés de la autopista I-485, una de las principales vías de Charlotte, en Carolina del Norte. Además</w:t>
      </w:r>
      <w:r w:rsidR="00AC3971">
        <w:t>,</w:t>
      </w:r>
      <w:r w:rsidRPr="009A13A5">
        <w:t xml:space="preserve"> ha instalado el sistema de detección automática de Vehículos de Alta Ocupación en los carriles exprés de las autopistas I-95, I-495 e I-395, en el norte de Virginia.</w:t>
      </w:r>
    </w:p>
    <w:p w14:paraId="2E0CE364" w14:textId="77777777" w:rsidR="009A13A5" w:rsidRPr="009A13A5" w:rsidRDefault="009A13A5" w:rsidP="009A13A5">
      <w:pPr>
        <w:pStyle w:val="Prrafodelista"/>
        <w:numPr>
          <w:ilvl w:val="0"/>
          <w:numId w:val="16"/>
        </w:numPr>
      </w:pPr>
      <w:r w:rsidRPr="007274BE">
        <w:t>Uno de los hitos recientes en movilidad conectada ha sido la alianza de Indra con Audi y Qualcomm Technologies en Estados Unidos para revolucionar el sistema de pago de peajes mediante tecnología C-V2X (vehicle-to-everything).</w:t>
      </w:r>
    </w:p>
    <w:p w14:paraId="3F7C3C89" w14:textId="089C7C54" w:rsidR="009A13A5" w:rsidRDefault="009A13A5" w:rsidP="009A13A5">
      <w:pPr>
        <w:pStyle w:val="Prrafodelista"/>
        <w:numPr>
          <w:ilvl w:val="0"/>
          <w:numId w:val="16"/>
        </w:numPr>
      </w:pPr>
      <w:r w:rsidRPr="007D7B60">
        <w:t>Indra ha puesto en marcha su avanzada plataforma In-Mova Traffic para gestionar el tráfico de los 1,4 kilómetros del recién inaugurado Túnel de Silvertown en Londres</w:t>
      </w:r>
      <w:r>
        <w:t xml:space="preserve">. </w:t>
      </w:r>
      <w:r w:rsidRPr="00BC7FD8">
        <w:t>La compañía ha ejecutado un complejo sistema integral de control que incluye sistemas inteligentes de transporte (ITS), sistemas de comunicación, la red de radiocomunicaciones y las señales de tráfico</w:t>
      </w:r>
      <w:r>
        <w:t xml:space="preserve">, tecnologías que </w:t>
      </w:r>
      <w:r w:rsidRPr="00BC61A6">
        <w:t>permite</w:t>
      </w:r>
      <w:r w:rsidR="00AC3971">
        <w:t>n</w:t>
      </w:r>
      <w:r w:rsidRPr="00BC61A6">
        <w:t xml:space="preserve"> la monitorización del tráfico en tiempo real y una gestión altamente automatizada que optimiza la detección y respuesta ante incidentes y emergencias. Además, facilita la generación de informes, lo </w:t>
      </w:r>
      <w:r w:rsidRPr="00BC61A6">
        <w:lastRenderedPageBreak/>
        <w:t xml:space="preserve">que es clave para la toma de decisiones y el diseño de estrategias operativas para garantizar la máxima seguridad, </w:t>
      </w:r>
      <w:r w:rsidR="00B37934">
        <w:t>funcionamiento</w:t>
      </w:r>
      <w:r w:rsidRPr="00BC61A6">
        <w:t xml:space="preserve"> y eficiencia del túnel.</w:t>
      </w:r>
    </w:p>
    <w:p w14:paraId="65CEA486" w14:textId="0EC4A691" w:rsidR="00DD33DD" w:rsidRDefault="00DD33DD" w:rsidP="009A13A5">
      <w:pPr>
        <w:pStyle w:val="Prrafodelista"/>
        <w:numPr>
          <w:ilvl w:val="0"/>
          <w:numId w:val="16"/>
        </w:numPr>
      </w:pPr>
      <w:r>
        <w:t>Indra también ha imple</w:t>
      </w:r>
      <w:r w:rsidR="00D55DB9">
        <w:t>me</w:t>
      </w:r>
      <w:r>
        <w:t xml:space="preserve">ntado su plataforma In-Mova Traffic para la gestión de los otros 12 túneles </w:t>
      </w:r>
      <w:r w:rsidR="00030D46">
        <w:t>viales</w:t>
      </w:r>
      <w:r>
        <w:t xml:space="preserve"> de Londres</w:t>
      </w:r>
      <w:r w:rsidR="00C7184A">
        <w:t>,</w:t>
      </w:r>
      <w:r w:rsidR="00030D46">
        <w:t xml:space="preserve"> el túne</w:t>
      </w:r>
      <w:r w:rsidR="00AE51E4">
        <w:t>l</w:t>
      </w:r>
      <w:r w:rsidR="00030D46">
        <w:t xml:space="preserve"> de Hinhead</w:t>
      </w:r>
      <w:r w:rsidR="00093C2F">
        <w:t>,</w:t>
      </w:r>
      <w:r w:rsidR="00AE51E4">
        <w:t xml:space="preserve"> también en Reino Unido, y otros túneles en carreteras de países como Colombia, </w:t>
      </w:r>
      <w:r w:rsidR="00D55DB9">
        <w:t xml:space="preserve">Chile, Portugal o </w:t>
      </w:r>
      <w:r w:rsidR="00AE51E4">
        <w:t>India</w:t>
      </w:r>
      <w:r w:rsidR="00D55DB9">
        <w:t>.</w:t>
      </w:r>
    </w:p>
    <w:p w14:paraId="1C2B1901" w14:textId="02DDE2D9" w:rsidR="009A13A5" w:rsidRDefault="009A13A5" w:rsidP="009A13A5">
      <w:pPr>
        <w:pStyle w:val="Prrafodelista"/>
        <w:numPr>
          <w:ilvl w:val="0"/>
          <w:numId w:val="16"/>
        </w:numPr>
      </w:pPr>
      <w:r w:rsidRPr="00BC61A6">
        <w:t xml:space="preserve">Indra ha firmado una alianza estratégica con la empresa aeroportuaria finlandesa Finavia para implantar su sistema de toma de decisiones colaborativas A-CDM/i-AOP (Airport Collaborative Decision Making/ </w:t>
      </w:r>
      <w:r w:rsidR="00952467">
        <w:t>i</w:t>
      </w:r>
      <w:r w:rsidRPr="00BC61A6">
        <w:t>nitial Airport Operations Plan) en el aeropuerto de Helsinki, el principal del país, con el objetivo de optimizar la gestión de las operaciones aeroportuarias en tierra y de la rotación de aeronaves antes del despegue</w:t>
      </w:r>
      <w:r w:rsidR="00952467">
        <w:t>.</w:t>
      </w:r>
    </w:p>
    <w:p w14:paraId="0E757276" w14:textId="362DC0F5" w:rsidR="002A701A" w:rsidRDefault="002A701A" w:rsidP="002A701A">
      <w:pPr>
        <w:pStyle w:val="Prrafodelista"/>
        <w:numPr>
          <w:ilvl w:val="0"/>
          <w:numId w:val="16"/>
        </w:numPr>
      </w:pPr>
      <w:r>
        <w:t xml:space="preserve">Indra también es pionera en la digitalización de los puertos, con algunas de las referencias más relevantes a escala global como </w:t>
      </w:r>
      <w:r w:rsidR="007044CA">
        <w:t>la implantación de la plataforma tecnológica d</w:t>
      </w:r>
      <w:r>
        <w:t>el Puerto de Valparaíso en Chile</w:t>
      </w:r>
      <w:r w:rsidR="00F04214">
        <w:t>,</w:t>
      </w:r>
      <w:r w:rsidR="006E1122">
        <w:t xml:space="preserve"> </w:t>
      </w:r>
      <w:r w:rsidR="00774281">
        <w:t>l</w:t>
      </w:r>
      <w:r w:rsidR="006E1122">
        <w:t xml:space="preserve">a Janela Única Portuaria </w:t>
      </w:r>
      <w:r w:rsidR="00774281">
        <w:t xml:space="preserve">(JUL) </w:t>
      </w:r>
      <w:r w:rsidR="006E1122">
        <w:t>en Portugal</w:t>
      </w:r>
      <w:r>
        <w:t xml:space="preserve"> o el proyecto SIMPLE en España</w:t>
      </w:r>
      <w:r w:rsidR="00D85B69">
        <w:t>, en el que ha implantado</w:t>
      </w:r>
      <w:r>
        <w:t xml:space="preserve"> </w:t>
      </w:r>
      <w:r w:rsidR="00D85B69" w:rsidRPr="00D85B69">
        <w:t>la plataforma digital española para intercambio de datos de la cadena de suministro</w:t>
      </w:r>
      <w:r w:rsidR="00D85B69">
        <w:t>,</w:t>
      </w:r>
      <w:r w:rsidR="00D85B69" w:rsidRPr="00D85B69">
        <w:t xml:space="preserve"> </w:t>
      </w:r>
      <w:r w:rsidR="00D85B69">
        <w:t>que</w:t>
      </w:r>
      <w:r w:rsidR="00D85B69" w:rsidRPr="00D85B69">
        <w:t xml:space="preserve"> mejorará con blockchain el transporte de mercancías</w:t>
      </w:r>
      <w:r w:rsidR="0091200E">
        <w:t>.</w:t>
      </w:r>
    </w:p>
    <w:p w14:paraId="4178538B" w14:textId="77777777" w:rsidR="00A945C6" w:rsidRDefault="00A945C6" w:rsidP="00F04214">
      <w:pPr>
        <w:pStyle w:val="Prrafodelista"/>
      </w:pPr>
    </w:p>
    <w:p w14:paraId="547F3472" w14:textId="6E5D4FA3" w:rsidR="0086212C" w:rsidRPr="00B82F24" w:rsidRDefault="0069136C" w:rsidP="00B82F24">
      <w:r>
        <w:t>Con una combinación única de innovación tecnológica, conocimiento operativo y compromiso con la sostenibilidad, Indra se ha convertido en un socio estratégico clave para transformar la movilidad en las principales ciudades y corredores interurbanos del mundo. Su experiencia, avalada por la confianza de gobiernos, operadores y entidades internacionales, la posiciona como un actor de referencia para afrontar los grandes desafíos de la movilidad del futuro: más digital, más conectada, más segura y respetuosa con el planeta. Desde el ticketing hasta el control de tráfico y el peaje inteligente, los proyectos de Indra impulsan un cambio real que mejora la calidad de vida de millones de personas cada día.</w:t>
      </w:r>
      <w:r w:rsidR="00B82F24">
        <w:t xml:space="preserve"> </w:t>
      </w:r>
      <w:r w:rsidR="0086212C" w:rsidRPr="6CE93D8B">
        <w:rPr>
          <w:b/>
          <w:bCs/>
          <w:noProof/>
          <w:color w:val="FFFFFF" w:themeColor="background1"/>
          <w:sz w:val="21"/>
          <w:szCs w:val="21"/>
        </w:rPr>
        <w:t xml:space="preserve">CON SU PLATAFORMA </w:t>
      </w:r>
    </w:p>
    <w:p w14:paraId="46DE4930" w14:textId="34E6CFB3" w:rsidR="00C453D8" w:rsidRPr="00C453D8" w:rsidRDefault="00C453D8" w:rsidP="6CE93D8B">
      <w:pPr>
        <w:spacing w:before="0" w:after="0"/>
        <w:rPr>
          <w:noProof/>
          <w:color w:val="FFFFFF" w:themeColor="background1"/>
          <w:sz w:val="21"/>
          <w:szCs w:val="21"/>
        </w:rPr>
      </w:pPr>
      <w:r w:rsidRPr="6CE93D8B">
        <w:rPr>
          <w:noProof/>
          <w:color w:val="FFFFFF" w:themeColor="background1"/>
          <w:sz w:val="21"/>
          <w:szCs w:val="21"/>
        </w:rPr>
        <w:t>ciones internacionales, como IDEX, donde se han destacado por su capacidad para integrarse en plataformas terrestres y navales. Los radares MTR están</w:t>
      </w:r>
    </w:p>
    <w:p w14:paraId="6A7C6578" w14:textId="3D024D87" w:rsidR="00516ACD" w:rsidRPr="00483739" w:rsidRDefault="00516ACD" w:rsidP="6CE93D8B">
      <w:pPr>
        <w:spacing w:before="0" w:after="0"/>
        <w:rPr>
          <w:noProof/>
          <w:color w:val="FFFFFF" w:themeColor="background1"/>
          <w:sz w:val="21"/>
          <w:szCs w:val="21"/>
        </w:rPr>
      </w:pPr>
    </w:p>
    <w:sectPr w:rsidR="00516ACD" w:rsidRPr="00483739" w:rsidSect="001628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4713" w14:textId="77777777" w:rsidR="00305940" w:rsidRDefault="00305940" w:rsidP="00544EF6">
      <w:pPr>
        <w:spacing w:before="0"/>
      </w:pPr>
      <w:r>
        <w:separator/>
      </w:r>
    </w:p>
  </w:endnote>
  <w:endnote w:type="continuationSeparator" w:id="0">
    <w:p w14:paraId="3EF968FB" w14:textId="77777777" w:rsidR="00305940" w:rsidRDefault="00305940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388615"/>
      <w:docPartObj>
        <w:docPartGallery w:val="Page Numbers (Bottom of Page)"/>
        <w:docPartUnique/>
      </w:docPartObj>
    </w:sdtPr>
    <w:sdtContent>
      <w:p w14:paraId="4FA75EA8" w14:textId="1FAD6793" w:rsidR="00313CA6" w:rsidRDefault="00313C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540F7" w14:textId="518E001E" w:rsidR="00E07C92" w:rsidRPr="00E07C92" w:rsidRDefault="00E07C92">
    <w:pPr>
      <w:pStyle w:val="Piedepgina"/>
      <w:rPr>
        <w:sz w:val="1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143B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EE90" w14:textId="77777777" w:rsidR="00305940" w:rsidRDefault="00305940" w:rsidP="00544EF6">
      <w:pPr>
        <w:spacing w:before="0"/>
      </w:pPr>
      <w:r>
        <w:separator/>
      </w:r>
    </w:p>
  </w:footnote>
  <w:footnote w:type="continuationSeparator" w:id="0">
    <w:p w14:paraId="5015E77B" w14:textId="77777777" w:rsidR="00305940" w:rsidRDefault="00305940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3E9D7436" w14:textId="77777777" w:rsidTr="02E77775">
      <w:trPr>
        <w:trHeight w:val="825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45D40CA7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2E6D4B1" wp14:editId="3C7A4891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F629EC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B338F8" w14:textId="71490A09" w:rsidR="00A67B89" w:rsidRPr="00A67B89" w:rsidRDefault="00B47325" w:rsidP="00A67B89">
          <w:pPr>
            <w:spacing w:before="160"/>
            <w:jc w:val="right"/>
            <w:rPr>
              <w:sz w:val="24"/>
              <w:szCs w:val="32"/>
            </w:rPr>
          </w:pPr>
          <w:r>
            <w:rPr>
              <w:sz w:val="24"/>
              <w:szCs w:val="32"/>
            </w:rPr>
            <w:t>Dossier Corporativo</w:t>
          </w:r>
          <w:r w:rsidR="008D5816">
            <w:rPr>
              <w:sz w:val="24"/>
              <w:szCs w:val="32"/>
            </w:rPr>
            <w:t xml:space="preserve"> </w:t>
          </w:r>
        </w:p>
      </w:tc>
    </w:tr>
  </w:tbl>
  <w:p w14:paraId="39800798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A3EBA58" wp14:editId="137F8961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2F4" w14:textId="77777777" w:rsidR="00FE4E37" w:rsidRDefault="00FE4E37" w:rsidP="00544EF6">
    <w:pPr>
      <w:pStyle w:val="Encabezado"/>
    </w:pPr>
  </w:p>
  <w:p w14:paraId="215164A2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C030F"/>
    <w:multiLevelType w:val="hybridMultilevel"/>
    <w:tmpl w:val="23F84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3FB5"/>
    <w:multiLevelType w:val="multilevel"/>
    <w:tmpl w:val="A19A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12167"/>
    <w:multiLevelType w:val="multilevel"/>
    <w:tmpl w:val="263A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51F0F"/>
    <w:multiLevelType w:val="hybridMultilevel"/>
    <w:tmpl w:val="8840A47E"/>
    <w:lvl w:ilvl="0" w:tplc="FFF28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62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EC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8A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8A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2B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2E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E3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E9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13FA8"/>
    <w:multiLevelType w:val="hybridMultilevel"/>
    <w:tmpl w:val="8A241430"/>
    <w:lvl w:ilvl="0" w:tplc="C70EE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C5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4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87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64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89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CF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6D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A6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997995965">
    <w:abstractNumId w:val="11"/>
  </w:num>
  <w:num w:numId="2" w16cid:durableId="1098331369">
    <w:abstractNumId w:val="8"/>
  </w:num>
  <w:num w:numId="3" w16cid:durableId="1431318269">
    <w:abstractNumId w:val="3"/>
  </w:num>
  <w:num w:numId="4" w16cid:durableId="698552725">
    <w:abstractNumId w:val="2"/>
  </w:num>
  <w:num w:numId="5" w16cid:durableId="1985961804">
    <w:abstractNumId w:val="1"/>
  </w:num>
  <w:num w:numId="6" w16cid:durableId="1181817766">
    <w:abstractNumId w:val="0"/>
  </w:num>
  <w:num w:numId="7" w16cid:durableId="270670528">
    <w:abstractNumId w:val="9"/>
  </w:num>
  <w:num w:numId="8" w16cid:durableId="272591480">
    <w:abstractNumId w:val="7"/>
  </w:num>
  <w:num w:numId="9" w16cid:durableId="2062705676">
    <w:abstractNumId w:val="6"/>
  </w:num>
  <w:num w:numId="10" w16cid:durableId="1782526820">
    <w:abstractNumId w:val="5"/>
  </w:num>
  <w:num w:numId="11" w16cid:durableId="744380743">
    <w:abstractNumId w:val="4"/>
  </w:num>
  <w:num w:numId="12" w16cid:durableId="1933197708">
    <w:abstractNumId w:val="10"/>
  </w:num>
  <w:num w:numId="13" w16cid:durableId="2146001256">
    <w:abstractNumId w:val="19"/>
  </w:num>
  <w:num w:numId="14" w16cid:durableId="1993437884">
    <w:abstractNumId w:val="18"/>
  </w:num>
  <w:num w:numId="15" w16cid:durableId="1493988613">
    <w:abstractNumId w:val="16"/>
  </w:num>
  <w:num w:numId="16" w16cid:durableId="935357665">
    <w:abstractNumId w:val="12"/>
  </w:num>
  <w:num w:numId="17" w16cid:durableId="780493140">
    <w:abstractNumId w:val="13"/>
  </w:num>
  <w:num w:numId="18" w16cid:durableId="818310063">
    <w:abstractNumId w:val="17"/>
  </w:num>
  <w:num w:numId="19" w16cid:durableId="414400392">
    <w:abstractNumId w:val="15"/>
  </w:num>
  <w:num w:numId="20" w16cid:durableId="1508784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6"/>
    <w:rsid w:val="00030D46"/>
    <w:rsid w:val="000331E3"/>
    <w:rsid w:val="00044255"/>
    <w:rsid w:val="0004788B"/>
    <w:rsid w:val="00084BD7"/>
    <w:rsid w:val="00093426"/>
    <w:rsid w:val="00093C2F"/>
    <w:rsid w:val="00094BC7"/>
    <w:rsid w:val="00094E14"/>
    <w:rsid w:val="000A71E8"/>
    <w:rsid w:val="000B7722"/>
    <w:rsid w:val="000C1837"/>
    <w:rsid w:val="000E6A5C"/>
    <w:rsid w:val="000F3350"/>
    <w:rsid w:val="00101F30"/>
    <w:rsid w:val="00102584"/>
    <w:rsid w:val="001347A8"/>
    <w:rsid w:val="00140F34"/>
    <w:rsid w:val="00145829"/>
    <w:rsid w:val="00161F8E"/>
    <w:rsid w:val="0016284F"/>
    <w:rsid w:val="00165FED"/>
    <w:rsid w:val="0017039A"/>
    <w:rsid w:val="001726F0"/>
    <w:rsid w:val="00174ED9"/>
    <w:rsid w:val="0017565F"/>
    <w:rsid w:val="001809B1"/>
    <w:rsid w:val="0019206A"/>
    <w:rsid w:val="00197609"/>
    <w:rsid w:val="001B0B2E"/>
    <w:rsid w:val="001B207A"/>
    <w:rsid w:val="00216335"/>
    <w:rsid w:val="00254534"/>
    <w:rsid w:val="002710DF"/>
    <w:rsid w:val="0027215B"/>
    <w:rsid w:val="00282A24"/>
    <w:rsid w:val="002830F3"/>
    <w:rsid w:val="00293707"/>
    <w:rsid w:val="002A6AB4"/>
    <w:rsid w:val="002A701A"/>
    <w:rsid w:val="002B017E"/>
    <w:rsid w:val="002C4E5A"/>
    <w:rsid w:val="002C70BA"/>
    <w:rsid w:val="002C7F8F"/>
    <w:rsid w:val="002E3687"/>
    <w:rsid w:val="002F6F81"/>
    <w:rsid w:val="00305940"/>
    <w:rsid w:val="00311266"/>
    <w:rsid w:val="00313CA6"/>
    <w:rsid w:val="00331176"/>
    <w:rsid w:val="00340E3A"/>
    <w:rsid w:val="00347A0C"/>
    <w:rsid w:val="00350B24"/>
    <w:rsid w:val="00351EA9"/>
    <w:rsid w:val="00357288"/>
    <w:rsid w:val="003607B4"/>
    <w:rsid w:val="003644ED"/>
    <w:rsid w:val="0039319D"/>
    <w:rsid w:val="00393ADD"/>
    <w:rsid w:val="0039747B"/>
    <w:rsid w:val="003A244E"/>
    <w:rsid w:val="003A7CD1"/>
    <w:rsid w:val="003C5EE6"/>
    <w:rsid w:val="003D4A04"/>
    <w:rsid w:val="003E0E71"/>
    <w:rsid w:val="003F5627"/>
    <w:rsid w:val="003F7D3B"/>
    <w:rsid w:val="00420078"/>
    <w:rsid w:val="00431B11"/>
    <w:rsid w:val="00444647"/>
    <w:rsid w:val="00454A68"/>
    <w:rsid w:val="0046704A"/>
    <w:rsid w:val="00467E14"/>
    <w:rsid w:val="00470B42"/>
    <w:rsid w:val="00471505"/>
    <w:rsid w:val="00482A19"/>
    <w:rsid w:val="00483739"/>
    <w:rsid w:val="0048719D"/>
    <w:rsid w:val="004A2612"/>
    <w:rsid w:val="004F1A6E"/>
    <w:rsid w:val="004F79EF"/>
    <w:rsid w:val="00503E7A"/>
    <w:rsid w:val="00516ACD"/>
    <w:rsid w:val="00522C71"/>
    <w:rsid w:val="00526C2F"/>
    <w:rsid w:val="005420D8"/>
    <w:rsid w:val="00544EF6"/>
    <w:rsid w:val="0054527E"/>
    <w:rsid w:val="00545E8E"/>
    <w:rsid w:val="005479A5"/>
    <w:rsid w:val="00563C46"/>
    <w:rsid w:val="0058184A"/>
    <w:rsid w:val="00596CFF"/>
    <w:rsid w:val="005A59BC"/>
    <w:rsid w:val="005C59B7"/>
    <w:rsid w:val="005E42CC"/>
    <w:rsid w:val="005E6D47"/>
    <w:rsid w:val="005F40E1"/>
    <w:rsid w:val="0062397A"/>
    <w:rsid w:val="00624185"/>
    <w:rsid w:val="006436A4"/>
    <w:rsid w:val="00651153"/>
    <w:rsid w:val="006530C3"/>
    <w:rsid w:val="0065419B"/>
    <w:rsid w:val="0067539C"/>
    <w:rsid w:val="00680ECA"/>
    <w:rsid w:val="00681C63"/>
    <w:rsid w:val="00683D86"/>
    <w:rsid w:val="00690659"/>
    <w:rsid w:val="0069136C"/>
    <w:rsid w:val="0069629A"/>
    <w:rsid w:val="006A2751"/>
    <w:rsid w:val="006D0A55"/>
    <w:rsid w:val="006E1122"/>
    <w:rsid w:val="006E50B5"/>
    <w:rsid w:val="007044CA"/>
    <w:rsid w:val="00710D75"/>
    <w:rsid w:val="007112E9"/>
    <w:rsid w:val="007213CF"/>
    <w:rsid w:val="00721FD4"/>
    <w:rsid w:val="007303C8"/>
    <w:rsid w:val="0073060D"/>
    <w:rsid w:val="00733E09"/>
    <w:rsid w:val="007371BB"/>
    <w:rsid w:val="007561D3"/>
    <w:rsid w:val="00774281"/>
    <w:rsid w:val="00777EB5"/>
    <w:rsid w:val="007927C6"/>
    <w:rsid w:val="00795CD0"/>
    <w:rsid w:val="007A35FA"/>
    <w:rsid w:val="007A4873"/>
    <w:rsid w:val="007A7CB3"/>
    <w:rsid w:val="007B649D"/>
    <w:rsid w:val="007C50A7"/>
    <w:rsid w:val="007D088C"/>
    <w:rsid w:val="007F0FE5"/>
    <w:rsid w:val="007F681A"/>
    <w:rsid w:val="0082002F"/>
    <w:rsid w:val="00824526"/>
    <w:rsid w:val="00824AC8"/>
    <w:rsid w:val="00835F0D"/>
    <w:rsid w:val="00852D71"/>
    <w:rsid w:val="008559F1"/>
    <w:rsid w:val="0085619A"/>
    <w:rsid w:val="0086212C"/>
    <w:rsid w:val="00875414"/>
    <w:rsid w:val="00883344"/>
    <w:rsid w:val="00895AAE"/>
    <w:rsid w:val="008B74BB"/>
    <w:rsid w:val="008C5193"/>
    <w:rsid w:val="008C5FB9"/>
    <w:rsid w:val="008D1944"/>
    <w:rsid w:val="008D5816"/>
    <w:rsid w:val="008E342E"/>
    <w:rsid w:val="008E7D58"/>
    <w:rsid w:val="00903480"/>
    <w:rsid w:val="0091200E"/>
    <w:rsid w:val="00927ED6"/>
    <w:rsid w:val="00936D58"/>
    <w:rsid w:val="0094582B"/>
    <w:rsid w:val="009521F1"/>
    <w:rsid w:val="00952467"/>
    <w:rsid w:val="0097701D"/>
    <w:rsid w:val="009A13A5"/>
    <w:rsid w:val="009A62E6"/>
    <w:rsid w:val="009A7964"/>
    <w:rsid w:val="009B09BF"/>
    <w:rsid w:val="009C2582"/>
    <w:rsid w:val="009D0287"/>
    <w:rsid w:val="009E030A"/>
    <w:rsid w:val="009F57FE"/>
    <w:rsid w:val="00A0022D"/>
    <w:rsid w:val="00A0068F"/>
    <w:rsid w:val="00A12BB7"/>
    <w:rsid w:val="00A43F60"/>
    <w:rsid w:val="00A4549B"/>
    <w:rsid w:val="00A631B5"/>
    <w:rsid w:val="00A67B89"/>
    <w:rsid w:val="00A7265C"/>
    <w:rsid w:val="00A74084"/>
    <w:rsid w:val="00A81207"/>
    <w:rsid w:val="00A93DD1"/>
    <w:rsid w:val="00A945C6"/>
    <w:rsid w:val="00A949CB"/>
    <w:rsid w:val="00A96CC4"/>
    <w:rsid w:val="00AA6291"/>
    <w:rsid w:val="00AC3971"/>
    <w:rsid w:val="00AC4BF6"/>
    <w:rsid w:val="00AE058B"/>
    <w:rsid w:val="00AE370D"/>
    <w:rsid w:val="00AE51E4"/>
    <w:rsid w:val="00B0519E"/>
    <w:rsid w:val="00B10022"/>
    <w:rsid w:val="00B10BC4"/>
    <w:rsid w:val="00B11F02"/>
    <w:rsid w:val="00B173D4"/>
    <w:rsid w:val="00B37934"/>
    <w:rsid w:val="00B454D3"/>
    <w:rsid w:val="00B47325"/>
    <w:rsid w:val="00B473F0"/>
    <w:rsid w:val="00B60ACA"/>
    <w:rsid w:val="00B67380"/>
    <w:rsid w:val="00B82F24"/>
    <w:rsid w:val="00BA728C"/>
    <w:rsid w:val="00BB10A8"/>
    <w:rsid w:val="00BE0599"/>
    <w:rsid w:val="00BE73E2"/>
    <w:rsid w:val="00C0129A"/>
    <w:rsid w:val="00C266A2"/>
    <w:rsid w:val="00C33262"/>
    <w:rsid w:val="00C40254"/>
    <w:rsid w:val="00C453D8"/>
    <w:rsid w:val="00C47B2C"/>
    <w:rsid w:val="00C47B57"/>
    <w:rsid w:val="00C47B62"/>
    <w:rsid w:val="00C50B64"/>
    <w:rsid w:val="00C675E3"/>
    <w:rsid w:val="00C7184A"/>
    <w:rsid w:val="00C742E3"/>
    <w:rsid w:val="00C75524"/>
    <w:rsid w:val="00C805BF"/>
    <w:rsid w:val="00C93CC7"/>
    <w:rsid w:val="00C972F8"/>
    <w:rsid w:val="00C97C21"/>
    <w:rsid w:val="00CA363F"/>
    <w:rsid w:val="00CA6A64"/>
    <w:rsid w:val="00CB3F82"/>
    <w:rsid w:val="00CB6753"/>
    <w:rsid w:val="00CD0B64"/>
    <w:rsid w:val="00CD227E"/>
    <w:rsid w:val="00CD572F"/>
    <w:rsid w:val="00D00BB7"/>
    <w:rsid w:val="00D03565"/>
    <w:rsid w:val="00D30AF9"/>
    <w:rsid w:val="00D311DF"/>
    <w:rsid w:val="00D34926"/>
    <w:rsid w:val="00D416FC"/>
    <w:rsid w:val="00D4235F"/>
    <w:rsid w:val="00D45EC2"/>
    <w:rsid w:val="00D55DB9"/>
    <w:rsid w:val="00D63B88"/>
    <w:rsid w:val="00D85B69"/>
    <w:rsid w:val="00D93AD0"/>
    <w:rsid w:val="00D94007"/>
    <w:rsid w:val="00D957AD"/>
    <w:rsid w:val="00DB00DC"/>
    <w:rsid w:val="00DB615F"/>
    <w:rsid w:val="00DC09BB"/>
    <w:rsid w:val="00DC2096"/>
    <w:rsid w:val="00DC3B14"/>
    <w:rsid w:val="00DD33DD"/>
    <w:rsid w:val="00DE75D7"/>
    <w:rsid w:val="00DF1015"/>
    <w:rsid w:val="00DF3827"/>
    <w:rsid w:val="00E01097"/>
    <w:rsid w:val="00E07C92"/>
    <w:rsid w:val="00E17A04"/>
    <w:rsid w:val="00E2137E"/>
    <w:rsid w:val="00E26164"/>
    <w:rsid w:val="00E34143"/>
    <w:rsid w:val="00E52BD0"/>
    <w:rsid w:val="00E77D9C"/>
    <w:rsid w:val="00E82AB8"/>
    <w:rsid w:val="00E94D71"/>
    <w:rsid w:val="00EA4BC1"/>
    <w:rsid w:val="00EB167B"/>
    <w:rsid w:val="00EC523A"/>
    <w:rsid w:val="00EC6EE9"/>
    <w:rsid w:val="00EE79FF"/>
    <w:rsid w:val="00EF26F0"/>
    <w:rsid w:val="00F01B8F"/>
    <w:rsid w:val="00F01F1A"/>
    <w:rsid w:val="00F04214"/>
    <w:rsid w:val="00F04A88"/>
    <w:rsid w:val="00F1055C"/>
    <w:rsid w:val="00F31127"/>
    <w:rsid w:val="00F36DC6"/>
    <w:rsid w:val="00F54284"/>
    <w:rsid w:val="00F62A42"/>
    <w:rsid w:val="00F80AA5"/>
    <w:rsid w:val="00F94B5A"/>
    <w:rsid w:val="00F95DA5"/>
    <w:rsid w:val="00F9639A"/>
    <w:rsid w:val="00FA3670"/>
    <w:rsid w:val="00FB0EC9"/>
    <w:rsid w:val="00FB144D"/>
    <w:rsid w:val="00FB5768"/>
    <w:rsid w:val="00FC3AD1"/>
    <w:rsid w:val="00FC4624"/>
    <w:rsid w:val="00FD2660"/>
    <w:rsid w:val="00FE4E37"/>
    <w:rsid w:val="00FF0F19"/>
    <w:rsid w:val="02E77775"/>
    <w:rsid w:val="0402FE1F"/>
    <w:rsid w:val="05580564"/>
    <w:rsid w:val="083B49C0"/>
    <w:rsid w:val="0E4674A9"/>
    <w:rsid w:val="23025EE5"/>
    <w:rsid w:val="26609FD4"/>
    <w:rsid w:val="2BCBE8DC"/>
    <w:rsid w:val="31F34586"/>
    <w:rsid w:val="333F8AEE"/>
    <w:rsid w:val="33E0BE4C"/>
    <w:rsid w:val="3B6787C5"/>
    <w:rsid w:val="4DBA82D7"/>
    <w:rsid w:val="4F3679FC"/>
    <w:rsid w:val="4F64D026"/>
    <w:rsid w:val="4FEC5EEF"/>
    <w:rsid w:val="504E3108"/>
    <w:rsid w:val="62E7493F"/>
    <w:rsid w:val="69834A47"/>
    <w:rsid w:val="6CE93D8B"/>
    <w:rsid w:val="6D1A44C6"/>
    <w:rsid w:val="6D548359"/>
    <w:rsid w:val="7138FAB3"/>
    <w:rsid w:val="73A8A3EB"/>
    <w:rsid w:val="791F6229"/>
    <w:rsid w:val="7F7CA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4F44D"/>
  <w15:docId w15:val="{F20FCC27-DA20-4019-9CBC-523BF7A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BE73E2"/>
    <w:pPr>
      <w:spacing w:before="0" w:after="0"/>
      <w:ind w:right="55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BE73E2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795CD0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93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3A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3AD0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3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3AD0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45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9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80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30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04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9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4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4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99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35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hiques\Downloads\INDRAgroup_NP_ES_V2%20(1)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09945-6bfb-4888-9fe1-8ba55a665319">
      <Terms xmlns="http://schemas.microsoft.com/office/infopath/2007/PartnerControls"/>
    </lcf76f155ced4ddcb4097134ff3c332f>
    <TaxCatchAll xmlns="95878f6c-4b48-48e1-9345-aec461feb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7A098310EF0C4BAB928E6D6B675FF6" ma:contentTypeVersion="11" ma:contentTypeDescription="Crear nuevo documento." ma:contentTypeScope="" ma:versionID="9a219ab7eded03ec2b852d249813ceb2">
  <xsd:schema xmlns:xsd="http://www.w3.org/2001/XMLSchema" xmlns:xs="http://www.w3.org/2001/XMLSchema" xmlns:p="http://schemas.microsoft.com/office/2006/metadata/properties" xmlns:ns2="aa109945-6bfb-4888-9fe1-8ba55a665319" xmlns:ns3="95878f6c-4b48-48e1-9345-aec461feb297" targetNamespace="http://schemas.microsoft.com/office/2006/metadata/properties" ma:root="true" ma:fieldsID="9021c20bc97df1c9999573c27acea1ed" ns2:_="" ns3:_="">
    <xsd:import namespace="aa109945-6bfb-4888-9fe1-8ba55a665319"/>
    <xsd:import namespace="95878f6c-4b48-48e1-9345-aec461feb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09945-6bfb-4888-9fe1-8ba55a66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6c8f4d1-0548-410f-82ab-424def43f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78f6c-4b48-48e1-9345-aec461feb2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de152b-3199-4099-8745-56efe84b0669}" ma:internalName="TaxCatchAll" ma:showField="CatchAllData" ma:web="95878f6c-4b48-48e1-9345-aec461feb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aa109945-6bfb-4888-9fe1-8ba55a665319"/>
    <ds:schemaRef ds:uri="95878f6c-4b48-48e1-9345-aec461feb297"/>
  </ds:schemaRefs>
</ds:datastoreItem>
</file>

<file path=customXml/itemProps2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71655-E373-4242-8E8C-117BD86C6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09945-6bfb-4888-9fe1-8ba55a665319"/>
    <ds:schemaRef ds:uri="95878f6c-4b48-48e1-9345-aec461feb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INDRAgroup_NP_ES_V2 (1).dotx</Template>
  <TotalTime>5</TotalTime>
  <Pages>3</Pages>
  <Words>1758</Words>
  <Characters>9497</Characters>
  <Application>Microsoft Office Word</Application>
  <DocSecurity>0</DocSecurity>
  <Lines>131</Lines>
  <Paragraphs>39</Paragraphs>
  <ScaleCrop>false</ScaleCrop>
  <Company>Minsait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Mahiques Ramos, Lydia</dc:creator>
  <cp:lastModifiedBy>Jiménez Blanco, Elsa</cp:lastModifiedBy>
  <cp:revision>18</cp:revision>
  <cp:lastPrinted>2018-09-06T10:10:00Z</cp:lastPrinted>
  <dcterms:created xsi:type="dcterms:W3CDTF">2025-08-05T14:53:00Z</dcterms:created>
  <dcterms:modified xsi:type="dcterms:W3CDTF">2026-01-15T21:10:00Z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0x010100E17A098310EF0C4BAB928E6D6B675FF6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